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1.2pt;margin-top:0;width:34.55pt;height:21.1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27" type="#_x0000_t75" style="position:absolute;margin-left:200.65pt;margin-top:34.1pt;width:47.5pt;height:57.6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7.3pt;margin-top:23.05pt;width:181.9pt;height:61.9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00" w:line="140" w:lineRule="exact"/>
                    <w:ind w:left="0" w:right="0" w:firstLine="0"/>
                  </w:pPr>
                  <w:r>
                    <w:rPr>
                      <w:rStyle w:val="CharStyle4"/>
                    </w:rPr>
                    <w:t>МИНИСТЕРСТВО ЮСТИЦИИ РОССИЙСКОЙ ФЕДЕРАЦИИ</w:t>
                  </w:r>
                </w:p>
                <w:p>
                  <w:pPr>
                    <w:pStyle w:val="Style5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/>
                    <w:ind w:left="20" w:right="0" w:firstLine="0"/>
                  </w:pPr>
                  <w:bookmarkStart w:id="0" w:name="bookmark0"/>
                  <w:r>
                    <w:rPr>
                      <w:lang w:val="ru-RU" w:eastAsia="ru-RU" w:bidi="ru-RU"/>
                      <w:spacing w:val="0"/>
                      <w:color w:val="000000"/>
                      <w:position w:val="0"/>
                    </w:rPr>
                    <w:t>ЗАРЕГИСТРИРОВАНО</w:t>
                    <w:br/>
                    <w:t xml:space="preserve">Регистрационный № </w:t>
                  </w:r>
                  <w:r>
                    <w:rPr>
                      <w:rStyle w:val="CharStyle7"/>
                      <w:b/>
                      <w:bCs/>
                    </w:rPr>
                    <w:t>^/252'/б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02.9pt;margin-top:83.7pt;width:15.35pt;height:29.8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18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I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89.75pt;margin-top:84.9pt;width:314.9pt;height:62.4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20" w:lineRule="exact"/>
                    <w:ind w:left="4840" w:right="0" w:firstLine="0"/>
                  </w:pPr>
                  <w:bookmarkStart w:id="1" w:name="bookmark1"/>
                  <w:r>
                    <w:rPr>
                      <w:lang w:val="ru-RU" w:eastAsia="ru-RU" w:bidi="ru-RU"/>
                      <w:spacing w:val="0"/>
                      <w:color w:val="000000"/>
                      <w:position w:val="0"/>
                    </w:rPr>
                    <w:t>от</w:t>
                  </w:r>
                  <w:bookmarkEnd w:id="1"/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8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color w:val="000000"/>
                      <w:position w:val="0"/>
                    </w:rPr>
                    <w:t>МИНИСТЕРСТВО 3 Д РА В О ОХ Р</w:t>
                  </w:r>
                  <w:r>
                    <w:rPr>
                      <w:rStyle w:val="CharStyle12"/>
                      <w:b/>
                      <w:bCs/>
                    </w:rPr>
                    <w:t>А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color w:val="000000"/>
                      <w:position w:val="0"/>
                    </w:rPr>
                    <w:t xml:space="preserve">Й </w:t>
                  </w:r>
                  <w:r>
                    <w:rPr>
                      <w:rStyle w:val="CharStyle13"/>
                      <w:b/>
                      <w:bCs/>
                    </w:rPr>
                    <w:t>ЕМЕ</w:t>
                  </w:r>
                  <w:r>
                    <w:rPr>
                      <w:rStyle w:val="CharStyle14"/>
                      <w:b/>
                      <w:bCs/>
                    </w:rPr>
                    <w:t>»</w:t>
                    <w:br/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color w:val="000000"/>
                      <w:position w:val="0"/>
                    </w:rPr>
                    <w:t>РОССИЙСКОЙ ФЕДЕРАЦИИ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80" w:right="0" w:firstLine="0"/>
                  </w:pPr>
                  <w:r>
                    <w:rPr>
                      <w:rStyle w:val="CharStyle14"/>
                      <w:b/>
                      <w:bCs/>
                    </w:rPr>
                    <w:t>(Минздрав России)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75" style="position:absolute;margin-left:395.05pt;margin-top:77.75pt;width:107.05pt;height:32.65pt;z-index:-251658750;mso-wrap-distance-left:5.pt;mso-wrap-distance-right:5.pt;mso-position-horizontal-relative:margin" wrapcoords="0 0">
            <v:imagedata r:id="rId9" r:href="rId10"/>
            <w10:wrap anchorx="margin"/>
          </v:shape>
        </w:pict>
      </w:r>
      <w:r>
        <w:pict>
          <v:shape id="_x0000_s1032" type="#_x0000_t202" style="position:absolute;margin-left:183.6pt;margin-top:172.65pt;width:82.3pt;height:16.9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7"/>
                      <w:b/>
                      <w:bCs/>
                    </w:rPr>
                    <w:t>ПРИКАЗ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86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92" w:left="1133" w:right="504" w:bottom="605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0" w:line="460" w:lineRule="exact"/>
        <w:ind w:left="0" w:right="0" w:firstLine="0"/>
        <w:sectPr>
          <w:type w:val="continuous"/>
          <w:pgSz w:w="11900" w:h="16840"/>
          <w:pgMar w:top="4238" w:left="1172" w:right="7882" w:bottom="2142" w:header="0" w:footer="3" w:gutter="0"/>
          <w:rtlGutter w:val="0"/>
          <w:cols w:space="720"/>
          <w:noEndnote/>
          <w:docGrid w:linePitch="360"/>
        </w:sectPr>
      </w:pPr>
      <w:r>
        <w:pict>
          <v:shape id="_x0000_s1033" type="#_x0000_t202" style="position:absolute;margin-left:314.65pt;margin-top:-0.55pt;width:64.3pt;height:25.35pt;z-index:-125829376;mso-wrap-distance-left:172.3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№</w:t>
                  </w:r>
                </w:p>
              </w:txbxContent>
            </v:textbox>
            <w10:wrap type="square" side="left" anchorx="margin" anchory="margin"/>
          </v:shape>
        </w:pict>
      </w:r>
      <w:bookmarkStart w:id="2" w:name="bookmark2"/>
      <w:r>
        <w:rPr>
          <w:rStyle w:val="CharStyle22"/>
          <w:i w:val="0"/>
          <w:iCs w:val="0"/>
        </w:rPr>
        <w:t>/У</w:t>
      </w:r>
      <w:r>
        <w:rPr>
          <w:rStyle w:val="CharStyle23"/>
          <w:i/>
          <w:iCs/>
        </w:rPr>
        <w:t>&lt;и</w:t>
      </w:r>
      <w:r>
        <w:rPr>
          <w:lang w:val="ru-RU" w:eastAsia="ru-RU" w:bidi="ru-RU"/>
          <w:w w:val="100"/>
          <w:color w:val="000000"/>
          <w:position w:val="0"/>
        </w:rPr>
        <w:t>/2г.</w:t>
      </w:r>
      <w:bookmarkEnd w:id="2"/>
    </w:p>
    <w:p>
      <w:pPr>
        <w:widowControl w:val="0"/>
        <w:spacing w:line="100" w:lineRule="exact"/>
        <w:rPr>
          <w:sz w:val="8"/>
          <w:szCs w:val="8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933" w:left="0" w:right="0" w:bottom="1069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47" w:line="140" w:lineRule="exact"/>
        <w:ind w:left="4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Москва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463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типовых отраслевых норм времени</w:t>
        <w:br/>
        <w:t>на выполнение работ, связанных с посещением одним пациентом</w:t>
        <w:br/>
        <w:t>врача-кардиолога, врача-эндокринолога, врача-стоматолога-терапевта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пунктом 3 Правил разработки и утверждения типовых норм труда, утвержденных постановлением Правительства Российской Федерации от 11 ноября 2002 г. № 804 (Собрание законодательства Российской Федерации, 2002, № 46, ст. 4583), и пунктом 19 плана мероприятий («дорожной карты») «Изменения в отраслях социальной сферы, направленные на повышение эффективности здравоохранения», утвержденного распоряжением Правительства Российской Федерации от 28 декабря 2012 г. № 2599-р (Собрание законодательства Российской Федерации, 2013, № 2, ст. 130; 2013, № 45, ст. 5863; 2014, № 19, ст. 2468; 2015, № 36, ст. 5087; 2016, № 21, ст. 3087), приказываю: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1310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по согласованию с Министерством труда и социальной защиты Российской Федерации прилагаемые типовые отраслевые нормы времени на выполнение работ, связанных с посещением одним пациентом врача-кардиолога, врача-эндокринолога,, врача-стоматолога-терапевта.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pict>
          <v:shape id="_x0000_s1034" type="#_x0000_t75" style="position:absolute;margin-left:2.1pt;margin-top:-29.75pt;width:307.2pt;height:120.5pt;z-index:-125829375;mso-wrap-distance-left:5.pt;mso-wrap-distance-right:106.55pt;mso-wrap-distance-bottom:20.pt;mso-position-horizontal-relative:margin" wrapcoords="0 0 21600 0 21600 21600 0 21600 0 0">
            <v:imagedata r:id="rId11" r:href="rId12"/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В.И. Скворцова</w:t>
      </w:r>
      <w:r>
        <w:br w:type="page"/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120" w:line="280" w:lineRule="exact"/>
        <w:ind w:left="6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УТВЕРЖДЕНЫ</w:t>
      </w:r>
    </w:p>
    <w:p>
      <w:pPr>
        <w:pStyle w:val="Style26"/>
        <w:tabs>
          <w:tab w:leader="none" w:pos="79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37" w:line="326" w:lineRule="exact"/>
        <w:ind w:left="4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приказом Министерства здравоохранения Российской Федерации от «</w:t>
        <w:tab/>
        <w:t xml:space="preserve">2016 </w:t>
      </w:r>
      <w:r>
        <w:rPr>
          <w:rStyle w:val="CharStyle28"/>
        </w:rPr>
        <w:t xml:space="preserve">г. № </w:t>
      </w:r>
      <w:r>
        <w:rPr>
          <w:rStyle w:val="CharStyle29"/>
        </w:rPr>
        <w:t>.973</w:t>
      </w:r>
      <w:r>
        <w:rPr>
          <w:rStyle w:val="CharStyle30"/>
          <w:b w:val="0"/>
          <w:bCs w:val="0"/>
        </w:rPr>
        <w:t xml:space="preserve"> #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3" w:line="280" w:lineRule="exact"/>
        <w:ind w:left="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Типовые отраслевые нормы времени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center"/>
        <w:spacing w:before="0" w:after="236" w:line="317" w:lineRule="exact"/>
        <w:ind w:left="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выполнение работ, связанных с посещением одним пациентом</w:t>
        <w:br/>
        <w:t>врача-кардиолога, врача-эндокринолога, врача-стоматолога-терапевта</w:t>
      </w:r>
    </w:p>
    <w:p>
      <w:pPr>
        <w:pStyle w:val="Style26"/>
        <w:numPr>
          <w:ilvl w:val="0"/>
          <w:numId w:val="1"/>
        </w:numPr>
        <w:tabs>
          <w:tab w:leader="none" w:pos="129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60" w:right="38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Типовые отраслевые нормы времени (далее - нормы времени) на выполнение работ, связанных с посещением одним пациентом врача- кардиолога, врача-эндокринолога, врача-стоматолога-терапевта (далее - врач- специалист), применяются при оказании первичной специализированной медико-санитарной помощи в амбулаторных условиях (не предусматривающих круглосуточного медицинского наблюдения и лечения).</w:t>
      </w:r>
    </w:p>
    <w:p>
      <w:pPr>
        <w:pStyle w:val="Style26"/>
        <w:numPr>
          <w:ilvl w:val="0"/>
          <w:numId w:val="1"/>
        </w:numPr>
        <w:tabs>
          <w:tab w:leader="none" w:pos="128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60" w:right="38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Нормы времени являются основой для расчета норм нагрузки, нормативов численности и иных норм труда врачей-специалистов медицинских организаций, оказывающих первичную специализированную медико- санитарную помощь в амбулаторных условиях.</w:t>
      </w:r>
    </w:p>
    <w:p>
      <w:pPr>
        <w:pStyle w:val="Style26"/>
        <w:numPr>
          <w:ilvl w:val="0"/>
          <w:numId w:val="1"/>
        </w:numPr>
        <w:tabs>
          <w:tab w:leader="none" w:pos="130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60" w:right="38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Нормы времени на одно посещение пациентом врача-специалиста в связи с заболеванием, необходимые для выполнения в амбулаторных условиях трудовых действий по оказанию медицинской помощи (в том числе затраты времени на оформление медицинской документации) :</w:t>
      </w:r>
    </w:p>
    <w:p>
      <w:pPr>
        <w:pStyle w:val="Style26"/>
        <w:tabs>
          <w:tab w:leader="none" w:pos="167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врача-кардиолога - 24 минуты;</w:t>
      </w:r>
    </w:p>
    <w:p>
      <w:pPr>
        <w:pStyle w:val="Style26"/>
        <w:tabs>
          <w:tab w:leader="none" w:pos="169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врача-эндокринолога - 19 минут;</w:t>
      </w:r>
    </w:p>
    <w:p>
      <w:pPr>
        <w:pStyle w:val="Style26"/>
        <w:tabs>
          <w:tab w:leader="none" w:pos="169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врача-стоматолога-терапевта - 44 минуты.</w:t>
      </w:r>
    </w:p>
    <w:p>
      <w:pPr>
        <w:pStyle w:val="Style26"/>
        <w:numPr>
          <w:ilvl w:val="0"/>
          <w:numId w:val="1"/>
        </w:numPr>
        <w:tabs>
          <w:tab w:leader="none" w:pos="147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60" w:right="38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Нормы времени на посещение пациентом врача-специалиста с профилактической целью устанавливаются в размере 60-70 </w:t>
      </w:r>
      <w:r>
        <w:rPr>
          <w:rStyle w:val="CharStyle31"/>
          <w:b w:val="0"/>
          <w:bCs w:val="0"/>
        </w:rPr>
        <w:t>%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от норм времени, связанных с посещением одним пациентом врача-специалиста в связи с заболеванием, установленных в медицинской организации или иной организации, осуществляющей медицинскую деятельность (далее - медицинская организация), в соответствии с пунктом 3 настоящих норм времени.</w:t>
      </w:r>
    </w:p>
    <w:p>
      <w:pPr>
        <w:pStyle w:val="Style26"/>
        <w:numPr>
          <w:ilvl w:val="0"/>
          <w:numId w:val="1"/>
        </w:numPr>
        <w:tabs>
          <w:tab w:leader="none" w:pos="1317" w:val="left"/>
        </w:tabs>
        <w:widowControl w:val="0"/>
        <w:keepNext w:val="0"/>
        <w:keepLines w:val="0"/>
        <w:shd w:val="clear" w:color="auto" w:fill="auto"/>
        <w:bidi w:val="0"/>
        <w:spacing w:before="0" w:after="212" w:line="322" w:lineRule="exact"/>
        <w:ind w:left="260" w:right="38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Затраты времени врача-специалиста на оформление медицинской документации с учетом рациональной организации труда, оснащения рабочих мест компьютерной и организационной техникой, должны составлять не более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spacing w:before="0" w:after="124"/>
        <w:ind w:left="260" w:right="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Приказ Минздравсоцразвития России от 27.12.2011 № 1664н «Об утверждении номенклатуры медицинских услуг» (зарегистрирован в Минюсте России 24.01.2012, регистрационный № 23010) с изменениями, внесенными приказами Минздрава России от 28.10.2013 № 794н (зарегистрирован в Минюсте России 31.12.2013, регистрационный № 30977), от 10.12.2014 № 813н (зарегистрирован в Минюсте России 19.01.2015, регистрационный № 35569) и от 29.09.2016 № 751н (зарегистрирован в Минюсте России 25.10.2016, регистрационный № 44131)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260" w:right="380" w:firstLine="0"/>
        <w:sectPr>
          <w:type w:val="continuous"/>
          <w:pgSz w:w="11900" w:h="16840"/>
          <w:pgMar w:top="933" w:left="1125" w:right="512" w:bottom="106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Минздравсоцразвития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в Минюсте России 25.08.2010, регистрационный № 18247)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0"/>
        <w:ind w:left="300" w:right="3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35 % от норм времени, связанных с посещением одним пациентом врача-специалиста в связи с заболеванием и с профилактической целью в соответствии с пунктами 3 и 4 настоящих норм времени.</w:t>
      </w:r>
    </w:p>
    <w:p>
      <w:pPr>
        <w:pStyle w:val="Style26"/>
        <w:numPr>
          <w:ilvl w:val="0"/>
          <w:numId w:val="1"/>
        </w:numPr>
        <w:tabs>
          <w:tab w:leader="none" w:pos="13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3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медицинских организациях, оказывающих первичную специализированную медико-санитарную помощь в амбулаторных условиях, нормы времени, указанные в пунктах 3 и 4, устанавливаются с учетом плотности проживания и половозрастного состава населения, а также с учетом уровня и структуры заболеваемости населения путем суммирования поправочных коэффициентов норм времени.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этом применяются следующие поправочные коэффициенты:</w:t>
      </w:r>
    </w:p>
    <w:p>
      <w:pPr>
        <w:pStyle w:val="Style26"/>
        <w:tabs>
          <w:tab w:leader="none" w:pos="13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3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плотность проживания прикрепленного населения выше 8 человек на кв. км:-0,05;</w:t>
      </w:r>
    </w:p>
    <w:p>
      <w:pPr>
        <w:pStyle w:val="Style26"/>
        <w:tabs>
          <w:tab w:leader="none" w:pos="13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3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плотность проживания прикрепленного населения ниже 8 человек на кв. км: +0,05;</w:t>
      </w:r>
    </w:p>
    <w:p>
      <w:pPr>
        <w:pStyle w:val="Style26"/>
        <w:tabs>
          <w:tab w:leader="none" w:pos="1384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300" w:right="3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плотность проживания прикрепленного населения районов Крайнего Севера и приравненных к ним местностей составляет не более 2,5 человек на кв. км:+0,15;</w:t>
      </w:r>
    </w:p>
    <w:p>
      <w:pPr>
        <w:pStyle w:val="Style26"/>
        <w:tabs>
          <w:tab w:leader="none" w:pos="1379" w:val="left"/>
        </w:tabs>
        <w:widowControl w:val="0"/>
        <w:keepNext w:val="0"/>
        <w:keepLines w:val="0"/>
        <w:shd w:val="clear" w:color="auto" w:fill="auto"/>
        <w:bidi w:val="0"/>
        <w:spacing w:before="0" w:after="0" w:line="422" w:lineRule="exact"/>
        <w:ind w:left="300" w:right="3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уровень заболеваемости населения выше на 20 % среднего значения по субъекту Российской Федерации: +0,05;</w:t>
      </w:r>
    </w:p>
    <w:p>
      <w:pPr>
        <w:pStyle w:val="Style26"/>
        <w:tabs>
          <w:tab w:leader="none" w:pos="1389" w:val="left"/>
        </w:tabs>
        <w:widowControl w:val="0"/>
        <w:keepNext w:val="0"/>
        <w:keepLines w:val="0"/>
        <w:shd w:val="clear" w:color="auto" w:fill="auto"/>
        <w:bidi w:val="0"/>
        <w:spacing w:before="0" w:after="0" w:line="422" w:lineRule="exact"/>
        <w:ind w:left="300" w:right="3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уровень заболеваемости населения ниже на 20 % среднего значения по субъекту Российской Федерации: -0,05;</w:t>
      </w:r>
    </w:p>
    <w:p>
      <w:pPr>
        <w:pStyle w:val="Style26"/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spacing w:before="0" w:after="0" w:line="422" w:lineRule="exact"/>
        <w:ind w:left="300" w:right="3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е)</w:t>
        <w:tab/>
        <w:t>доля лиц старше трудоспособного возраста среди прикрепленного населения выше 30 %: +0,05;</w:t>
      </w:r>
    </w:p>
    <w:p>
      <w:pPr>
        <w:pStyle w:val="Style26"/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spacing w:before="0" w:after="0" w:line="422" w:lineRule="exact"/>
        <w:ind w:left="300" w:right="3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ж)</w:t>
        <w:tab/>
        <w:t>доля лиц старше трудоспособного возраста среди прикрепленного населения ниже 30 %: -0,05.</w:t>
      </w:r>
    </w:p>
    <w:sectPr>
      <w:headerReference w:type="default" r:id="rId13"/>
      <w:pgSz w:w="11900" w:h="16840"/>
      <w:pgMar w:top="1481" w:left="1098" w:right="540" w:bottom="148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308.35pt;margin-top:48.4pt;width:5.3pt;height:8.4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3) Exact"/>
    <w:basedOn w:val="DefaultParagraphFont"/>
    <w:rPr>
      <w:b w:val="0"/>
      <w:bCs w:val="0"/>
      <w:i w:val="0"/>
      <w:iCs w:val="0"/>
      <w:u w:val="none"/>
      <w:strike w:val="0"/>
      <w:smallCaps w:val="0"/>
      <w:sz w:val="14"/>
      <w:szCs w:val="14"/>
      <w:rFonts w:ascii="Trebuchet MS" w:eastAsia="Trebuchet MS" w:hAnsi="Trebuchet MS" w:cs="Trebuchet MS"/>
    </w:rPr>
  </w:style>
  <w:style w:type="character" w:customStyle="1" w:styleId="CharStyle6">
    <w:name w:val="Heading #2 Exact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w w:val="75"/>
    </w:rPr>
  </w:style>
  <w:style w:type="character" w:customStyle="1" w:styleId="CharStyle7">
    <w:name w:val="Heading #2 + 20 pt,Italic,Spacing -1 pt,Scale 100% Exact"/>
    <w:basedOn w:val="CharStyle6"/>
    <w:rPr>
      <w:lang w:val="ru-RU" w:eastAsia="ru-RU" w:bidi="ru-RU"/>
      <w:i/>
      <w:iCs/>
      <w:u w:val="single"/>
      <w:sz w:val="40"/>
      <w:szCs w:val="40"/>
      <w:w w:val="100"/>
      <w:spacing w:val="-20"/>
      <w:color w:val="000000"/>
      <w:position w:val="0"/>
    </w:rPr>
  </w:style>
  <w:style w:type="character" w:customStyle="1" w:styleId="CharStyle9">
    <w:name w:val="Body text (4) Exact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4"/>
      <w:szCs w:val="14"/>
      <w:rFonts w:ascii="Cambria" w:eastAsia="Cambria" w:hAnsi="Cambria" w:cs="Cambria"/>
    </w:rPr>
  </w:style>
  <w:style w:type="character" w:customStyle="1" w:styleId="CharStyle11">
    <w:name w:val="Body text (5) Exact"/>
    <w:basedOn w:val="DefaultParagraphFont"/>
    <w:link w:val="Style10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30"/>
    </w:rPr>
  </w:style>
  <w:style w:type="character" w:customStyle="1" w:styleId="CharStyle12">
    <w:name w:val="Body text (5) Exact"/>
    <w:basedOn w:val="CharStyle11"/>
    <w:rPr>
      <w:lang w:val="ru-RU" w:eastAsia="ru-RU" w:bidi="ru-RU"/>
      <w:strike/>
      <w:sz w:val="24"/>
      <w:szCs w:val="24"/>
      <w:w w:val="100"/>
      <w:color w:val="000000"/>
      <w:position w:val="0"/>
    </w:rPr>
  </w:style>
  <w:style w:type="character" w:customStyle="1" w:styleId="CharStyle13">
    <w:name w:val="Body text (5) + Spacing 0 pt Exact"/>
    <w:basedOn w:val="CharStyle11"/>
    <w:rPr>
      <w:lang w:val="ru-RU" w:eastAsia="ru-RU" w:bidi="ru-RU"/>
      <w:strike/>
      <w:sz w:val="24"/>
      <w:szCs w:val="24"/>
      <w:w w:val="100"/>
      <w:spacing w:val="0"/>
      <w:color w:val="000000"/>
      <w:position w:val="0"/>
    </w:rPr>
  </w:style>
  <w:style w:type="character" w:customStyle="1" w:styleId="CharStyle14">
    <w:name w:val="Body text (5) + Spacing 0 pt Exact"/>
    <w:basedOn w:val="CharStyle11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Body text (6) Exact"/>
    <w:basedOn w:val="DefaultParagraphFont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Body text (6) + Spacing 3 pt Exact"/>
    <w:basedOn w:val="CharStyle25"/>
    <w:rPr>
      <w:spacing w:val="70"/>
    </w:rPr>
  </w:style>
  <w:style w:type="character" w:customStyle="1" w:styleId="CharStyle19">
    <w:name w:val="Body text (7) Exact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0"/>
      <w:szCs w:val="20"/>
      <w:rFonts w:ascii="Sylfaen" w:eastAsia="Sylfaen" w:hAnsi="Sylfaen" w:cs="Sylfaen"/>
    </w:rPr>
  </w:style>
  <w:style w:type="character" w:customStyle="1" w:styleId="CharStyle21">
    <w:name w:val="Heading #1_"/>
    <w:basedOn w:val="DefaultParagraphFont"/>
    <w:link w:val="Style20"/>
    <w:rPr>
      <w:b w:val="0"/>
      <w:bCs w:val="0"/>
      <w:i/>
      <w:iCs/>
      <w:u w:val="none"/>
      <w:strike w:val="0"/>
      <w:smallCaps w:val="0"/>
      <w:sz w:val="46"/>
      <w:szCs w:val="46"/>
      <w:rFonts w:ascii="Trebuchet MS" w:eastAsia="Trebuchet MS" w:hAnsi="Trebuchet MS" w:cs="Trebuchet MS"/>
      <w:spacing w:val="-80"/>
    </w:rPr>
  </w:style>
  <w:style w:type="character" w:customStyle="1" w:styleId="CharStyle22">
    <w:name w:val="Heading #1 + 21 pt,Not Italic,Spacing -2 pt"/>
    <w:basedOn w:val="CharStyle21"/>
    <w:rPr>
      <w:lang w:val="ru-RU" w:eastAsia="ru-RU" w:bidi="ru-RU"/>
      <w:i/>
      <w:iCs/>
      <w:u w:val="single"/>
      <w:sz w:val="42"/>
      <w:szCs w:val="42"/>
      <w:w w:val="100"/>
      <w:spacing w:val="-40"/>
      <w:color w:val="000000"/>
      <w:position w:val="0"/>
    </w:rPr>
  </w:style>
  <w:style w:type="character" w:customStyle="1" w:styleId="CharStyle23">
    <w:name w:val="Heading #1"/>
    <w:basedOn w:val="CharStyle21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24">
    <w:name w:val="Body text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4"/>
      <w:szCs w:val="14"/>
      <w:rFonts w:ascii="Trebuchet MS" w:eastAsia="Trebuchet MS" w:hAnsi="Trebuchet MS" w:cs="Trebuchet MS"/>
    </w:rPr>
  </w:style>
  <w:style w:type="character" w:customStyle="1" w:styleId="CharStyle25">
    <w:name w:val="Body text (6)_"/>
    <w:basedOn w:val="DefaultParagraphFont"/>
    <w:link w:val="Style1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7">
    <w:name w:val="Body text (2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8">
    <w:name w:val="Body text (2) + 11 pt,Bold,Small Caps"/>
    <w:basedOn w:val="CharStyle27"/>
    <w:rPr>
      <w:lang w:val="ru-RU" w:eastAsia="ru-RU" w:bidi="ru-RU"/>
      <w:b/>
      <w:bCs/>
      <w:smallCaps/>
      <w:sz w:val="22"/>
      <w:szCs w:val="22"/>
      <w:w w:val="100"/>
      <w:spacing w:val="0"/>
      <w:color w:val="000000"/>
      <w:position w:val="0"/>
    </w:rPr>
  </w:style>
  <w:style w:type="character" w:customStyle="1" w:styleId="CharStyle29">
    <w:name w:val="Body text (2) + Sylfaen,18 pt,Italic,Spacing -2 pt"/>
    <w:basedOn w:val="CharStyle27"/>
    <w:rPr>
      <w:lang w:val="ru-RU" w:eastAsia="ru-RU" w:bidi="ru-RU"/>
      <w:i/>
      <w:iCs/>
      <w:u w:val="single"/>
      <w:sz w:val="36"/>
      <w:szCs w:val="36"/>
      <w:rFonts w:ascii="Sylfaen" w:eastAsia="Sylfaen" w:hAnsi="Sylfaen" w:cs="Sylfaen"/>
      <w:w w:val="100"/>
      <w:spacing w:val="-50"/>
      <w:color w:val="000000"/>
      <w:position w:val="0"/>
    </w:rPr>
  </w:style>
  <w:style w:type="character" w:customStyle="1" w:styleId="CharStyle30">
    <w:name w:val="Body text (2) + Sylfaen,16 pt,Italic"/>
    <w:basedOn w:val="CharStyle27"/>
    <w:rPr>
      <w:lang w:val="ru-RU" w:eastAsia="ru-RU" w:bidi="ru-RU"/>
      <w:b/>
      <w:bCs/>
      <w:i/>
      <w:iCs/>
      <w:u w:val="single"/>
      <w:sz w:val="32"/>
      <w:szCs w:val="32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31">
    <w:name w:val="Body text (2) + Sylfaen,13 pt,Italic"/>
    <w:basedOn w:val="CharStyle27"/>
    <w:rPr>
      <w:lang w:val="ru-RU" w:eastAsia="ru-RU" w:bidi="ru-RU"/>
      <w:b/>
      <w:bCs/>
      <w:i/>
      <w:iCs/>
      <w:sz w:val="26"/>
      <w:szCs w:val="26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33">
    <w:name w:val="Body text (8)_"/>
    <w:basedOn w:val="DefaultParagraphFont"/>
    <w:link w:val="Style32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35">
    <w:name w:val="Header or footer_"/>
    <w:basedOn w:val="DefaultParagraphFont"/>
    <w:link w:val="Style34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6">
    <w:name w:val="Header or footer"/>
    <w:basedOn w:val="CharStyle35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Body text (3)"/>
    <w:basedOn w:val="Normal"/>
    <w:link w:val="CharStyle24"/>
    <w:pPr>
      <w:widowControl w:val="0"/>
      <w:shd w:val="clear" w:color="auto" w:fill="FFFFFF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rebuchet MS" w:eastAsia="Trebuchet MS" w:hAnsi="Trebuchet MS" w:cs="Trebuchet MS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FFFFFF"/>
      <w:jc w:val="center"/>
      <w:outlineLvl w:val="1"/>
      <w:spacing w:before="180" w:line="413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w w:val="75"/>
    </w:rPr>
  </w:style>
  <w:style w:type="paragraph" w:customStyle="1" w:styleId="Style8">
    <w:name w:val="Body text (4)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Cambria" w:eastAsia="Cambria" w:hAnsi="Cambria" w:cs="Cambria"/>
    </w:rPr>
  </w:style>
  <w:style w:type="paragraph" w:customStyle="1" w:styleId="Style10">
    <w:name w:val="Body text (5)"/>
    <w:basedOn w:val="Normal"/>
    <w:link w:val="CharStyle11"/>
    <w:pPr>
      <w:widowControl w:val="0"/>
      <w:shd w:val="clear" w:color="auto" w:fill="FFFFFF"/>
      <w:jc w:val="center"/>
      <w:spacing w:line="293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30"/>
    </w:rPr>
  </w:style>
  <w:style w:type="paragraph" w:customStyle="1" w:styleId="Style15">
    <w:name w:val="Body text (6)"/>
    <w:basedOn w:val="Normal"/>
    <w:link w:val="CharStyle2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8">
    <w:name w:val="Body text (7)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Sylfaen" w:eastAsia="Sylfaen" w:hAnsi="Sylfaen" w:cs="Sylfaen"/>
    </w:rPr>
  </w:style>
  <w:style w:type="paragraph" w:customStyle="1" w:styleId="Style20">
    <w:name w:val="Heading #1"/>
    <w:basedOn w:val="Normal"/>
    <w:link w:val="CharStyle21"/>
    <w:pPr>
      <w:widowControl w:val="0"/>
      <w:shd w:val="clear" w:color="auto" w:fill="FFFFFF"/>
      <w:outlineLvl w:val="0"/>
      <w:spacing w:line="0" w:lineRule="exact"/>
    </w:pPr>
    <w:rPr>
      <w:b w:val="0"/>
      <w:bCs w:val="0"/>
      <w:i/>
      <w:iCs/>
      <w:u w:val="none"/>
      <w:strike w:val="0"/>
      <w:smallCaps w:val="0"/>
      <w:sz w:val="46"/>
      <w:szCs w:val="46"/>
      <w:rFonts w:ascii="Trebuchet MS" w:eastAsia="Trebuchet MS" w:hAnsi="Trebuchet MS" w:cs="Trebuchet MS"/>
      <w:spacing w:val="-80"/>
    </w:rPr>
  </w:style>
  <w:style w:type="paragraph" w:customStyle="1" w:styleId="Style26">
    <w:name w:val="Body text (2)"/>
    <w:basedOn w:val="Normal"/>
    <w:link w:val="CharStyle27"/>
    <w:pPr>
      <w:widowControl w:val="0"/>
      <w:shd w:val="clear" w:color="auto" w:fill="FFFFFF"/>
      <w:jc w:val="both"/>
      <w:spacing w:before="540" w:line="418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2">
    <w:name w:val="Body text (8)"/>
    <w:basedOn w:val="Normal"/>
    <w:link w:val="CharStyle33"/>
    <w:pPr>
      <w:widowControl w:val="0"/>
      <w:shd w:val="clear" w:color="auto" w:fill="FFFFFF"/>
      <w:jc w:val="both"/>
      <w:spacing w:before="120" w:after="120"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34">
    <w:name w:val="Header or footer"/>
    <w:basedOn w:val="Normal"/>
    <w:link w:val="CharStyle3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header" Target="header1.xml"/></Relationships>
</file>